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DF" w:rsidRDefault="006D68DF" w:rsidP="006D68DF">
      <w:pPr>
        <w:jc w:val="center"/>
        <w:rPr>
          <w:b/>
          <w:i/>
          <w:sz w:val="32"/>
          <w:szCs w:val="32"/>
        </w:rPr>
      </w:pPr>
      <w:r>
        <w:rPr>
          <w:b/>
          <w:i/>
          <w:sz w:val="32"/>
          <w:szCs w:val="32"/>
        </w:rPr>
        <w:t>Началь</w:t>
      </w:r>
      <w:r>
        <w:rPr>
          <w:b/>
          <w:i/>
          <w:sz w:val="32"/>
          <w:szCs w:val="32"/>
        </w:rPr>
        <w:t>ное общее образование.</w:t>
      </w:r>
    </w:p>
    <w:p w:rsidR="006D68DF" w:rsidRDefault="006D68DF" w:rsidP="006D68DF">
      <w:pPr>
        <w:jc w:val="center"/>
        <w:rPr>
          <w:b/>
          <w:i/>
          <w:sz w:val="32"/>
          <w:szCs w:val="32"/>
        </w:rPr>
      </w:pPr>
      <w:r>
        <w:rPr>
          <w:b/>
          <w:i/>
          <w:sz w:val="32"/>
          <w:szCs w:val="32"/>
        </w:rPr>
        <w:t>Аннотация к рабочей программе по основам православной веры (</w:t>
      </w:r>
      <w:r>
        <w:rPr>
          <w:b/>
          <w:i/>
          <w:sz w:val="32"/>
          <w:szCs w:val="32"/>
        </w:rPr>
        <w:t xml:space="preserve">1 – 3 </w:t>
      </w:r>
      <w:r>
        <w:rPr>
          <w:b/>
          <w:i/>
          <w:sz w:val="32"/>
          <w:szCs w:val="32"/>
        </w:rPr>
        <w:t>классы).</w:t>
      </w:r>
    </w:p>
    <w:p w:rsidR="006D68DF" w:rsidRDefault="006D68DF" w:rsidP="006D68DF">
      <w:pPr>
        <w:jc w:val="center"/>
        <w:rPr>
          <w:b/>
          <w:i/>
          <w:sz w:val="32"/>
          <w:szCs w:val="32"/>
        </w:rPr>
      </w:pPr>
    </w:p>
    <w:tbl>
      <w:tblPr>
        <w:tblStyle w:val="a3"/>
        <w:tblW w:w="0" w:type="auto"/>
        <w:tblInd w:w="-856" w:type="dxa"/>
        <w:tblLook w:val="04A0" w:firstRow="1" w:lastRow="0" w:firstColumn="1" w:lastColumn="0" w:noHBand="0" w:noVBand="1"/>
      </w:tblPr>
      <w:tblGrid>
        <w:gridCol w:w="1852"/>
        <w:gridCol w:w="8349"/>
      </w:tblGrid>
      <w:tr w:rsidR="006D68DF" w:rsidTr="007027B0">
        <w:tc>
          <w:tcPr>
            <w:tcW w:w="1844" w:type="dxa"/>
          </w:tcPr>
          <w:p w:rsidR="006D68DF" w:rsidRPr="00B46C19" w:rsidRDefault="006D68DF" w:rsidP="007027B0">
            <w:pPr>
              <w:rPr>
                <w:sz w:val="24"/>
                <w:szCs w:val="24"/>
              </w:rPr>
            </w:pPr>
            <w:r>
              <w:rPr>
                <w:sz w:val="24"/>
                <w:szCs w:val="24"/>
              </w:rPr>
              <w:t>Статус программы</w:t>
            </w:r>
          </w:p>
        </w:tc>
        <w:tc>
          <w:tcPr>
            <w:tcW w:w="8357" w:type="dxa"/>
          </w:tcPr>
          <w:p w:rsidR="006D68DF" w:rsidRPr="006D68DF" w:rsidRDefault="006D68DF" w:rsidP="006D68DF">
            <w:pPr>
              <w:widowControl w:val="0"/>
              <w:suppressAutoHyphens/>
              <w:jc w:val="both"/>
              <w:rPr>
                <w:rFonts w:eastAsia="Times New Roman" w:cs="Times New Roman"/>
                <w:kern w:val="2"/>
                <w:sz w:val="24"/>
                <w:szCs w:val="24"/>
                <w:lang w:eastAsia="ar-SA"/>
              </w:rPr>
            </w:pPr>
            <w:r>
              <w:rPr>
                <w:rFonts w:eastAsia="Times New Roman" w:cs="Times New Roman"/>
                <w:kern w:val="2"/>
                <w:sz w:val="24"/>
                <w:szCs w:val="24"/>
                <w:lang w:eastAsia="ar-SA"/>
              </w:rPr>
              <w:t xml:space="preserve">     </w:t>
            </w:r>
            <w:r w:rsidRPr="006D68DF">
              <w:rPr>
                <w:rFonts w:eastAsia="Times New Roman" w:cs="Times New Roman"/>
                <w:kern w:val="2"/>
                <w:sz w:val="24"/>
                <w:szCs w:val="24"/>
                <w:lang w:eastAsia="ar-SA"/>
              </w:rPr>
              <w:t>Программа составлена на основе</w:t>
            </w:r>
            <w:r>
              <w:rPr>
                <w:rFonts w:eastAsia="Times New Roman" w:cs="Times New Roman"/>
                <w:kern w:val="2"/>
                <w:sz w:val="24"/>
                <w:szCs w:val="24"/>
                <w:lang w:eastAsia="ar-SA"/>
              </w:rPr>
              <w:t xml:space="preserve"> </w:t>
            </w:r>
            <w:r w:rsidRPr="006D68DF">
              <w:rPr>
                <w:rFonts w:cs="Times New Roman"/>
                <w:color w:val="212121"/>
                <w:sz w:val="24"/>
                <w:szCs w:val="24"/>
                <w:shd w:val="clear" w:color="auto" w:fill="FFFFFF"/>
              </w:rPr>
              <w:t xml:space="preserve">примерной рабочей программы к Стандарту православного компонента начального (общего), основного (общего), среднего (полного) общего образования, утвержденного Председателем Синодального отдела религиозного образования и </w:t>
            </w:r>
            <w:proofErr w:type="spellStart"/>
            <w:r w:rsidRPr="006D68DF">
              <w:rPr>
                <w:rFonts w:cs="Times New Roman"/>
                <w:color w:val="212121"/>
                <w:sz w:val="24"/>
                <w:szCs w:val="24"/>
                <w:shd w:val="clear" w:color="auto" w:fill="FFFFFF"/>
              </w:rPr>
              <w:t>катехизации</w:t>
            </w:r>
            <w:proofErr w:type="spellEnd"/>
            <w:r w:rsidRPr="006D68DF">
              <w:rPr>
                <w:rFonts w:cs="Times New Roman"/>
                <w:color w:val="212121"/>
                <w:sz w:val="24"/>
                <w:szCs w:val="24"/>
                <w:shd w:val="clear" w:color="auto" w:fill="FFFFFF"/>
              </w:rPr>
              <w:t xml:space="preserve"> митрополитом Ростовским и Новочеркасским Меркурием (май 2012 г.),</w:t>
            </w:r>
            <w:r>
              <w:rPr>
                <w:rFonts w:eastAsia="Times New Roman" w:cs="Times New Roman"/>
                <w:kern w:val="2"/>
                <w:sz w:val="24"/>
                <w:szCs w:val="24"/>
                <w:lang w:eastAsia="ar-SA"/>
              </w:rPr>
              <w:t xml:space="preserve"> </w:t>
            </w:r>
            <w:r w:rsidRPr="006D68DF">
              <w:rPr>
                <w:rFonts w:cs="Times New Roman"/>
                <w:sz w:val="24"/>
                <w:szCs w:val="24"/>
              </w:rPr>
              <w:t>у</w:t>
            </w:r>
            <w:r>
              <w:rPr>
                <w:rFonts w:cs="Times New Roman"/>
                <w:sz w:val="24"/>
                <w:szCs w:val="24"/>
              </w:rPr>
              <w:t>чебного пособия</w:t>
            </w:r>
            <w:r w:rsidRPr="006D68DF">
              <w:rPr>
                <w:rFonts w:cs="Times New Roman"/>
                <w:sz w:val="24"/>
                <w:szCs w:val="24"/>
              </w:rPr>
              <w:t xml:space="preserve"> протоиерея Бориса Балашова «Великие</w:t>
            </w:r>
            <w:r>
              <w:rPr>
                <w:rFonts w:cs="Times New Roman"/>
                <w:sz w:val="24"/>
                <w:szCs w:val="24"/>
              </w:rPr>
              <w:t xml:space="preserve"> праздники», рекомендуемого</w:t>
            </w:r>
            <w:r w:rsidRPr="006D68DF">
              <w:rPr>
                <w:rFonts w:cs="Times New Roman"/>
                <w:b/>
                <w:sz w:val="24"/>
                <w:szCs w:val="24"/>
              </w:rPr>
              <w:t xml:space="preserve"> </w:t>
            </w:r>
            <w:r w:rsidRPr="006D68DF">
              <w:rPr>
                <w:rFonts w:cs="Times New Roman"/>
                <w:sz w:val="24"/>
                <w:szCs w:val="24"/>
              </w:rPr>
              <w:t xml:space="preserve">Отделом религиозного образования и </w:t>
            </w:r>
            <w:proofErr w:type="spellStart"/>
            <w:r w:rsidRPr="006D68DF">
              <w:rPr>
                <w:rFonts w:cs="Times New Roman"/>
                <w:sz w:val="24"/>
                <w:szCs w:val="24"/>
              </w:rPr>
              <w:t>катехизации</w:t>
            </w:r>
            <w:proofErr w:type="spellEnd"/>
            <w:r w:rsidRPr="006D68DF">
              <w:rPr>
                <w:rFonts w:cs="Times New Roman"/>
                <w:sz w:val="24"/>
                <w:szCs w:val="24"/>
              </w:rPr>
              <w:t xml:space="preserve"> Русской Православной Церкви. </w:t>
            </w:r>
          </w:p>
        </w:tc>
      </w:tr>
      <w:tr w:rsidR="006D68DF" w:rsidTr="007027B0">
        <w:tc>
          <w:tcPr>
            <w:tcW w:w="1844" w:type="dxa"/>
          </w:tcPr>
          <w:p w:rsidR="006D68DF" w:rsidRPr="00B46C19" w:rsidRDefault="006D68DF" w:rsidP="007027B0">
            <w:pPr>
              <w:rPr>
                <w:sz w:val="24"/>
                <w:szCs w:val="24"/>
              </w:rPr>
            </w:pPr>
            <w:r>
              <w:rPr>
                <w:sz w:val="24"/>
                <w:szCs w:val="24"/>
              </w:rPr>
              <w:t xml:space="preserve">Основные цели </w:t>
            </w:r>
            <w:r w:rsidRPr="00B46C19">
              <w:rPr>
                <w:sz w:val="24"/>
                <w:szCs w:val="24"/>
              </w:rPr>
              <w:t>учебной дисциплины</w:t>
            </w:r>
          </w:p>
        </w:tc>
        <w:tc>
          <w:tcPr>
            <w:tcW w:w="8357" w:type="dxa"/>
          </w:tcPr>
          <w:p w:rsidR="006D68DF" w:rsidRDefault="006D68DF" w:rsidP="007027B0">
            <w:pPr>
              <w:ind w:firstLine="567"/>
              <w:jc w:val="both"/>
              <w:rPr>
                <w:rFonts w:cs="Times New Roman"/>
                <w:sz w:val="24"/>
                <w:szCs w:val="24"/>
              </w:rPr>
            </w:pPr>
          </w:p>
          <w:p w:rsidR="006D68DF" w:rsidRPr="006D68DF" w:rsidRDefault="006D68DF" w:rsidP="006D68DF">
            <w:pPr>
              <w:numPr>
                <w:ilvl w:val="0"/>
                <w:numId w:val="4"/>
              </w:numPr>
              <w:ind w:left="0" w:firstLine="851"/>
              <w:jc w:val="both"/>
              <w:rPr>
                <w:rFonts w:cs="Times New Roman"/>
                <w:sz w:val="24"/>
                <w:szCs w:val="24"/>
              </w:rPr>
            </w:pPr>
            <w:r w:rsidRPr="006D68DF">
              <w:rPr>
                <w:rFonts w:cs="Times New Roman"/>
                <w:sz w:val="24"/>
                <w:szCs w:val="24"/>
              </w:rPr>
              <w:t>донести до детей понимание Евангельской нравственности, чтобы она стала основой их жизни, помочь им осознать себя чадами Церкви Христовой, «</w:t>
            </w:r>
            <w:proofErr w:type="gramStart"/>
            <w:r w:rsidRPr="006D68DF">
              <w:rPr>
                <w:rFonts w:cs="Times New Roman"/>
                <w:sz w:val="24"/>
                <w:szCs w:val="24"/>
              </w:rPr>
              <w:t>родными  Богу</w:t>
            </w:r>
            <w:proofErr w:type="gramEnd"/>
            <w:r w:rsidRPr="006D68DF">
              <w:rPr>
                <w:rFonts w:cs="Times New Roman"/>
                <w:sz w:val="24"/>
                <w:szCs w:val="24"/>
              </w:rPr>
              <w:t xml:space="preserve"> и своими для святых»;</w:t>
            </w:r>
          </w:p>
          <w:p w:rsidR="006D68DF" w:rsidRPr="006D68DF" w:rsidRDefault="006D68DF" w:rsidP="006D68DF">
            <w:pPr>
              <w:numPr>
                <w:ilvl w:val="0"/>
                <w:numId w:val="4"/>
              </w:numPr>
              <w:ind w:left="0" w:firstLine="851"/>
              <w:jc w:val="both"/>
              <w:rPr>
                <w:rFonts w:cs="Times New Roman"/>
                <w:szCs w:val="28"/>
              </w:rPr>
            </w:pPr>
            <w:r w:rsidRPr="006D68DF">
              <w:rPr>
                <w:rFonts w:cs="Times New Roman"/>
                <w:sz w:val="24"/>
                <w:szCs w:val="24"/>
              </w:rPr>
              <w:t>помочь выстроить в сознании ребенка правильную лестницу иерархических ценностей, выделяя главное место на ней для Бога. Выражаясь словами блаженного Августина, помочь осознать ребенку, что «если Бог будет на первом месте, то все остальное будет на своем».</w:t>
            </w:r>
          </w:p>
        </w:tc>
      </w:tr>
      <w:tr w:rsidR="006D68DF" w:rsidTr="007027B0">
        <w:tc>
          <w:tcPr>
            <w:tcW w:w="1844" w:type="dxa"/>
          </w:tcPr>
          <w:p w:rsidR="006D68DF" w:rsidRPr="00B46C19" w:rsidRDefault="006D68DF" w:rsidP="007027B0">
            <w:pPr>
              <w:rPr>
                <w:sz w:val="24"/>
                <w:szCs w:val="24"/>
              </w:rPr>
            </w:pPr>
            <w:r>
              <w:rPr>
                <w:sz w:val="24"/>
                <w:szCs w:val="24"/>
              </w:rPr>
              <w:t>Практические задачи учебной дисциплины</w:t>
            </w:r>
          </w:p>
        </w:tc>
        <w:tc>
          <w:tcPr>
            <w:tcW w:w="8357" w:type="dxa"/>
          </w:tcPr>
          <w:p w:rsidR="006D68DF" w:rsidRPr="006D68DF" w:rsidRDefault="006D68DF" w:rsidP="007027B0">
            <w:pPr>
              <w:ind w:firstLine="567"/>
              <w:jc w:val="both"/>
              <w:rPr>
                <w:rFonts w:cs="Times New Roman"/>
                <w:bCs/>
                <w:iCs/>
                <w:sz w:val="24"/>
                <w:szCs w:val="24"/>
              </w:rPr>
            </w:pPr>
            <w:r w:rsidRPr="00A13BA9">
              <w:rPr>
                <w:rFonts w:cs="Times New Roman"/>
                <w:bCs/>
                <w:iCs/>
                <w:sz w:val="24"/>
                <w:szCs w:val="24"/>
              </w:rPr>
              <w:t xml:space="preserve">Для достижения поставленных целей необходимо решение следующих </w:t>
            </w:r>
            <w:r w:rsidRPr="006D68DF">
              <w:rPr>
                <w:rFonts w:cs="Times New Roman"/>
                <w:bCs/>
                <w:iCs/>
                <w:sz w:val="24"/>
                <w:szCs w:val="24"/>
              </w:rPr>
              <w:t>практических задач:</w:t>
            </w:r>
          </w:p>
          <w:p w:rsidR="006D68DF" w:rsidRPr="006D68DF" w:rsidRDefault="006D68DF" w:rsidP="006D68DF">
            <w:pPr>
              <w:widowControl w:val="0"/>
              <w:numPr>
                <w:ilvl w:val="0"/>
                <w:numId w:val="5"/>
              </w:numPr>
              <w:tabs>
                <w:tab w:val="clear" w:pos="720"/>
              </w:tabs>
              <w:suppressAutoHyphens/>
              <w:ind w:left="0" w:firstLine="851"/>
              <w:jc w:val="both"/>
              <w:rPr>
                <w:rFonts w:cs="Times New Roman"/>
                <w:sz w:val="24"/>
                <w:szCs w:val="24"/>
              </w:rPr>
            </w:pPr>
            <w:r w:rsidRPr="006D68DF">
              <w:rPr>
                <w:rFonts w:cs="Times New Roman"/>
                <w:b/>
                <w:bCs/>
                <w:i/>
                <w:iCs/>
                <w:sz w:val="24"/>
                <w:szCs w:val="24"/>
              </w:rPr>
              <w:t>приблизить</w:t>
            </w:r>
            <w:r w:rsidRPr="006D68DF">
              <w:rPr>
                <w:rFonts w:cs="Times New Roman"/>
                <w:sz w:val="24"/>
                <w:szCs w:val="24"/>
              </w:rPr>
              <w:t xml:space="preserve"> детей к литургической жизни Церкви;</w:t>
            </w:r>
          </w:p>
          <w:p w:rsidR="006D68DF" w:rsidRPr="006D68DF" w:rsidRDefault="006D68DF" w:rsidP="006D68DF">
            <w:pPr>
              <w:widowControl w:val="0"/>
              <w:numPr>
                <w:ilvl w:val="0"/>
                <w:numId w:val="5"/>
              </w:numPr>
              <w:tabs>
                <w:tab w:val="clear" w:pos="720"/>
              </w:tabs>
              <w:suppressAutoHyphens/>
              <w:ind w:left="0" w:firstLine="851"/>
              <w:jc w:val="both"/>
              <w:rPr>
                <w:rFonts w:cs="Times New Roman"/>
                <w:sz w:val="24"/>
                <w:szCs w:val="24"/>
              </w:rPr>
            </w:pPr>
            <w:r w:rsidRPr="006D68DF">
              <w:rPr>
                <w:rFonts w:cs="Times New Roman"/>
                <w:b/>
                <w:bCs/>
                <w:i/>
                <w:iCs/>
                <w:sz w:val="24"/>
                <w:szCs w:val="24"/>
              </w:rPr>
              <w:t>формировать</w:t>
            </w:r>
            <w:r w:rsidRPr="006D68DF">
              <w:rPr>
                <w:rFonts w:cs="Times New Roman"/>
                <w:sz w:val="24"/>
                <w:szCs w:val="24"/>
              </w:rPr>
              <w:t xml:space="preserve"> опыт духовной жизни во Христе;</w:t>
            </w:r>
          </w:p>
          <w:p w:rsidR="006D68DF" w:rsidRPr="006D68DF" w:rsidRDefault="006D68DF" w:rsidP="006D68DF">
            <w:pPr>
              <w:widowControl w:val="0"/>
              <w:numPr>
                <w:ilvl w:val="0"/>
                <w:numId w:val="5"/>
              </w:numPr>
              <w:tabs>
                <w:tab w:val="clear" w:pos="720"/>
              </w:tabs>
              <w:suppressAutoHyphens/>
              <w:ind w:left="0" w:firstLine="851"/>
              <w:jc w:val="both"/>
              <w:rPr>
                <w:rFonts w:cs="Times New Roman"/>
                <w:sz w:val="24"/>
                <w:szCs w:val="24"/>
              </w:rPr>
            </w:pPr>
            <w:r w:rsidRPr="006D68DF">
              <w:rPr>
                <w:rFonts w:cs="Times New Roman"/>
                <w:b/>
                <w:i/>
                <w:sz w:val="24"/>
                <w:szCs w:val="24"/>
              </w:rPr>
              <w:t>заложить</w:t>
            </w:r>
            <w:r w:rsidRPr="006D68DF">
              <w:rPr>
                <w:rFonts w:cs="Times New Roman"/>
                <w:sz w:val="24"/>
                <w:szCs w:val="24"/>
              </w:rPr>
              <w:t xml:space="preserve"> основы христианского мировоззрения через приобщение к православному вероучению и святоотеческому наследию;</w:t>
            </w:r>
          </w:p>
          <w:p w:rsidR="006D68DF" w:rsidRPr="006D68DF" w:rsidRDefault="006D68DF" w:rsidP="006D68DF">
            <w:pPr>
              <w:widowControl w:val="0"/>
              <w:numPr>
                <w:ilvl w:val="0"/>
                <w:numId w:val="5"/>
              </w:numPr>
              <w:tabs>
                <w:tab w:val="clear" w:pos="720"/>
              </w:tabs>
              <w:suppressAutoHyphens/>
              <w:ind w:left="0" w:firstLine="851"/>
              <w:jc w:val="both"/>
              <w:rPr>
                <w:rFonts w:cs="Times New Roman"/>
                <w:sz w:val="24"/>
                <w:szCs w:val="24"/>
              </w:rPr>
            </w:pPr>
            <w:r w:rsidRPr="006D68DF">
              <w:rPr>
                <w:rFonts w:cs="Times New Roman"/>
                <w:b/>
                <w:bCs/>
                <w:i/>
                <w:iCs/>
                <w:sz w:val="24"/>
                <w:szCs w:val="24"/>
              </w:rPr>
              <w:t>формировать</w:t>
            </w:r>
            <w:r w:rsidRPr="006D68DF">
              <w:rPr>
                <w:rFonts w:cs="Times New Roman"/>
                <w:sz w:val="24"/>
                <w:szCs w:val="24"/>
              </w:rPr>
              <w:t xml:space="preserve"> высокообразованную и культурную личность, патриота и гражданина своего Отечества через приобщение к культурно-историческим традициям Православия, Российского государства;</w:t>
            </w:r>
          </w:p>
          <w:p w:rsidR="006D68DF" w:rsidRPr="006D68DF" w:rsidRDefault="006D68DF" w:rsidP="006D68DF">
            <w:pPr>
              <w:widowControl w:val="0"/>
              <w:numPr>
                <w:ilvl w:val="0"/>
                <w:numId w:val="5"/>
              </w:numPr>
              <w:tabs>
                <w:tab w:val="clear" w:pos="720"/>
              </w:tabs>
              <w:suppressAutoHyphens/>
              <w:ind w:left="0" w:firstLine="851"/>
              <w:jc w:val="both"/>
              <w:rPr>
                <w:rFonts w:cs="Times New Roman"/>
                <w:sz w:val="24"/>
                <w:szCs w:val="24"/>
              </w:rPr>
            </w:pPr>
            <w:r w:rsidRPr="006D68DF">
              <w:rPr>
                <w:rFonts w:cs="Times New Roman"/>
                <w:b/>
                <w:bCs/>
                <w:i/>
                <w:iCs/>
                <w:sz w:val="24"/>
                <w:szCs w:val="24"/>
              </w:rPr>
              <w:t xml:space="preserve">формировать </w:t>
            </w:r>
            <w:r w:rsidRPr="006D68DF">
              <w:rPr>
                <w:rFonts w:cs="Times New Roman"/>
                <w:sz w:val="24"/>
                <w:szCs w:val="24"/>
              </w:rPr>
              <w:t>уважительное отношение, христианскую любовь к людям на примере историй из Священного Писания и житий святых;</w:t>
            </w:r>
          </w:p>
          <w:p w:rsidR="006D68DF" w:rsidRPr="006D68DF" w:rsidRDefault="006D68DF" w:rsidP="006D68DF">
            <w:pPr>
              <w:widowControl w:val="0"/>
              <w:numPr>
                <w:ilvl w:val="0"/>
                <w:numId w:val="5"/>
              </w:numPr>
              <w:tabs>
                <w:tab w:val="clear" w:pos="720"/>
              </w:tabs>
              <w:suppressAutoHyphens/>
              <w:ind w:left="0" w:firstLine="851"/>
              <w:jc w:val="both"/>
              <w:rPr>
                <w:rFonts w:cs="Times New Roman"/>
                <w:sz w:val="24"/>
                <w:szCs w:val="24"/>
              </w:rPr>
            </w:pPr>
            <w:r w:rsidRPr="006D68DF">
              <w:rPr>
                <w:rFonts w:cs="Times New Roman"/>
                <w:b/>
                <w:bCs/>
                <w:i/>
                <w:iCs/>
                <w:sz w:val="24"/>
                <w:szCs w:val="24"/>
              </w:rPr>
              <w:t xml:space="preserve"> заложить</w:t>
            </w:r>
            <w:r w:rsidRPr="006D68DF">
              <w:rPr>
                <w:rFonts w:cs="Times New Roman"/>
                <w:sz w:val="24"/>
                <w:szCs w:val="24"/>
              </w:rPr>
              <w:t xml:space="preserve"> основы добродетельной жизни - жизни по христианской совести, воспитывать трудолюбие и послушание, умение служить ближним;</w:t>
            </w:r>
          </w:p>
          <w:p w:rsidR="006D68DF" w:rsidRPr="006D68DF" w:rsidRDefault="006D68DF" w:rsidP="006D68DF">
            <w:pPr>
              <w:widowControl w:val="0"/>
              <w:numPr>
                <w:ilvl w:val="0"/>
                <w:numId w:val="5"/>
              </w:numPr>
              <w:tabs>
                <w:tab w:val="clear" w:pos="720"/>
              </w:tabs>
              <w:suppressAutoHyphens/>
              <w:ind w:left="0" w:firstLine="851"/>
              <w:jc w:val="both"/>
              <w:rPr>
                <w:rFonts w:cs="Times New Roman"/>
                <w:b/>
                <w:bCs/>
                <w:i/>
                <w:iCs/>
                <w:sz w:val="24"/>
                <w:szCs w:val="24"/>
              </w:rPr>
            </w:pPr>
            <w:r w:rsidRPr="006D68DF">
              <w:rPr>
                <w:rFonts w:cs="Times New Roman"/>
                <w:b/>
                <w:bCs/>
                <w:i/>
                <w:iCs/>
                <w:sz w:val="24"/>
                <w:szCs w:val="24"/>
              </w:rPr>
              <w:t>дать представления</w:t>
            </w:r>
            <w:r w:rsidRPr="006D68DF">
              <w:rPr>
                <w:rFonts w:cs="Times New Roman"/>
                <w:sz w:val="24"/>
                <w:szCs w:val="24"/>
              </w:rPr>
              <w:t xml:space="preserve"> о системе нравственных ценностей православной традиции, развивать нравственные чувства.</w:t>
            </w:r>
          </w:p>
        </w:tc>
      </w:tr>
      <w:tr w:rsidR="006D68DF" w:rsidTr="007027B0">
        <w:tc>
          <w:tcPr>
            <w:tcW w:w="1844" w:type="dxa"/>
          </w:tcPr>
          <w:p w:rsidR="006D68DF" w:rsidRPr="00A13BA9" w:rsidRDefault="006D68DF" w:rsidP="007027B0">
            <w:pPr>
              <w:rPr>
                <w:sz w:val="24"/>
                <w:szCs w:val="24"/>
              </w:rPr>
            </w:pPr>
            <w:r>
              <w:rPr>
                <w:sz w:val="24"/>
                <w:szCs w:val="24"/>
              </w:rPr>
              <w:t>Количество часов на изучение дисциплины</w:t>
            </w:r>
          </w:p>
        </w:tc>
        <w:tc>
          <w:tcPr>
            <w:tcW w:w="8357" w:type="dxa"/>
          </w:tcPr>
          <w:p w:rsidR="006D68DF" w:rsidRDefault="006D68DF" w:rsidP="007027B0">
            <w:pPr>
              <w:rPr>
                <w:sz w:val="24"/>
                <w:szCs w:val="24"/>
              </w:rPr>
            </w:pPr>
            <w:r>
              <w:rPr>
                <w:sz w:val="24"/>
                <w:szCs w:val="24"/>
              </w:rPr>
              <w:t xml:space="preserve">1 </w:t>
            </w:r>
            <w:proofErr w:type="spellStart"/>
            <w:r>
              <w:rPr>
                <w:sz w:val="24"/>
                <w:szCs w:val="24"/>
              </w:rPr>
              <w:t>кл</w:t>
            </w:r>
            <w:proofErr w:type="spellEnd"/>
            <w:r>
              <w:rPr>
                <w:sz w:val="24"/>
                <w:szCs w:val="24"/>
              </w:rPr>
              <w:t>. – 33 часа.</w:t>
            </w:r>
          </w:p>
          <w:p w:rsidR="006D68DF" w:rsidRDefault="006D68DF" w:rsidP="007027B0">
            <w:pPr>
              <w:rPr>
                <w:sz w:val="24"/>
                <w:szCs w:val="24"/>
              </w:rPr>
            </w:pPr>
            <w:r>
              <w:rPr>
                <w:sz w:val="24"/>
                <w:szCs w:val="24"/>
              </w:rPr>
              <w:t xml:space="preserve">2 </w:t>
            </w:r>
            <w:proofErr w:type="spellStart"/>
            <w:r>
              <w:rPr>
                <w:sz w:val="24"/>
                <w:szCs w:val="24"/>
              </w:rPr>
              <w:t>кл</w:t>
            </w:r>
            <w:proofErr w:type="spellEnd"/>
            <w:r>
              <w:rPr>
                <w:sz w:val="24"/>
                <w:szCs w:val="24"/>
              </w:rPr>
              <w:t>. – 34 часа.</w:t>
            </w:r>
          </w:p>
          <w:p w:rsidR="006D68DF" w:rsidRDefault="006D68DF" w:rsidP="007027B0">
            <w:pPr>
              <w:rPr>
                <w:sz w:val="24"/>
                <w:szCs w:val="24"/>
              </w:rPr>
            </w:pPr>
            <w:r>
              <w:rPr>
                <w:sz w:val="24"/>
                <w:szCs w:val="24"/>
              </w:rPr>
              <w:t xml:space="preserve">3 </w:t>
            </w:r>
            <w:proofErr w:type="spellStart"/>
            <w:r>
              <w:rPr>
                <w:sz w:val="24"/>
                <w:szCs w:val="24"/>
              </w:rPr>
              <w:t>кл</w:t>
            </w:r>
            <w:proofErr w:type="spellEnd"/>
            <w:r>
              <w:rPr>
                <w:sz w:val="24"/>
                <w:szCs w:val="24"/>
              </w:rPr>
              <w:t>. – 34 часа.</w:t>
            </w:r>
          </w:p>
          <w:p w:rsidR="006D68DF" w:rsidRPr="005C7492" w:rsidRDefault="006D68DF" w:rsidP="007027B0">
            <w:pPr>
              <w:rPr>
                <w:sz w:val="24"/>
                <w:szCs w:val="24"/>
              </w:rPr>
            </w:pPr>
            <w:r>
              <w:rPr>
                <w:sz w:val="24"/>
                <w:szCs w:val="24"/>
              </w:rPr>
              <w:t>Всего 101 час.</w:t>
            </w:r>
          </w:p>
        </w:tc>
      </w:tr>
      <w:tr w:rsidR="006D68DF" w:rsidTr="007027B0">
        <w:tc>
          <w:tcPr>
            <w:tcW w:w="1844" w:type="dxa"/>
          </w:tcPr>
          <w:p w:rsidR="006D68DF" w:rsidRPr="005C7492" w:rsidRDefault="006D68DF" w:rsidP="007027B0">
            <w:pPr>
              <w:rPr>
                <w:sz w:val="24"/>
                <w:szCs w:val="24"/>
              </w:rPr>
            </w:pPr>
            <w:r w:rsidRPr="005C7492">
              <w:rPr>
                <w:sz w:val="24"/>
                <w:szCs w:val="24"/>
              </w:rPr>
              <w:t>Срок реализации программы</w:t>
            </w:r>
          </w:p>
        </w:tc>
        <w:tc>
          <w:tcPr>
            <w:tcW w:w="8357" w:type="dxa"/>
          </w:tcPr>
          <w:p w:rsidR="006D68DF" w:rsidRPr="005C7492" w:rsidRDefault="006D68DF" w:rsidP="007027B0">
            <w:pPr>
              <w:rPr>
                <w:sz w:val="24"/>
                <w:szCs w:val="24"/>
              </w:rPr>
            </w:pPr>
            <w:r>
              <w:rPr>
                <w:sz w:val="24"/>
                <w:szCs w:val="24"/>
              </w:rPr>
              <w:t>3 года.</w:t>
            </w:r>
            <w:bookmarkStart w:id="0" w:name="_GoBack"/>
            <w:bookmarkEnd w:id="0"/>
          </w:p>
        </w:tc>
      </w:tr>
      <w:tr w:rsidR="006D68DF" w:rsidTr="007027B0">
        <w:tc>
          <w:tcPr>
            <w:tcW w:w="1844" w:type="dxa"/>
          </w:tcPr>
          <w:p w:rsidR="006D68DF" w:rsidRPr="005C7492" w:rsidRDefault="006D68DF" w:rsidP="007027B0">
            <w:pPr>
              <w:rPr>
                <w:sz w:val="24"/>
                <w:szCs w:val="24"/>
              </w:rPr>
            </w:pPr>
            <w:r>
              <w:rPr>
                <w:sz w:val="24"/>
                <w:szCs w:val="24"/>
              </w:rPr>
              <w:t>Основные разделы программы</w:t>
            </w:r>
          </w:p>
        </w:tc>
        <w:tc>
          <w:tcPr>
            <w:tcW w:w="8357" w:type="dxa"/>
          </w:tcPr>
          <w:p w:rsidR="006D68DF" w:rsidRPr="004A11C6" w:rsidRDefault="006D68DF" w:rsidP="007027B0">
            <w:pPr>
              <w:ind w:right="57"/>
              <w:jc w:val="both"/>
              <w:rPr>
                <w:rFonts w:cs="Times New Roman"/>
                <w:sz w:val="24"/>
                <w:szCs w:val="24"/>
              </w:rPr>
            </w:pPr>
            <w:r>
              <w:rPr>
                <w:rFonts w:cs="Times New Roman"/>
                <w:sz w:val="24"/>
                <w:szCs w:val="24"/>
              </w:rPr>
              <w:t>Иконы Великих праздников. Великие праздники.</w:t>
            </w:r>
          </w:p>
        </w:tc>
      </w:tr>
      <w:tr w:rsidR="006D68DF" w:rsidTr="007027B0">
        <w:tc>
          <w:tcPr>
            <w:tcW w:w="1844" w:type="dxa"/>
          </w:tcPr>
          <w:p w:rsidR="006D68DF" w:rsidRPr="004A11C6" w:rsidRDefault="006D68DF" w:rsidP="007027B0">
            <w:pPr>
              <w:rPr>
                <w:sz w:val="24"/>
                <w:szCs w:val="24"/>
              </w:rPr>
            </w:pPr>
            <w:r w:rsidRPr="004A11C6">
              <w:rPr>
                <w:sz w:val="24"/>
                <w:szCs w:val="24"/>
              </w:rPr>
              <w:t xml:space="preserve">Формы текущего контроля и </w:t>
            </w:r>
            <w:r w:rsidRPr="004A11C6">
              <w:rPr>
                <w:sz w:val="24"/>
                <w:szCs w:val="24"/>
              </w:rPr>
              <w:lastRenderedPageBreak/>
              <w:t>промежуточной аттестации</w:t>
            </w:r>
          </w:p>
        </w:tc>
        <w:tc>
          <w:tcPr>
            <w:tcW w:w="8357" w:type="dxa"/>
          </w:tcPr>
          <w:p w:rsidR="006D68DF" w:rsidRPr="004A11C6" w:rsidRDefault="006D68DF" w:rsidP="006D68DF">
            <w:pPr>
              <w:rPr>
                <w:sz w:val="24"/>
                <w:szCs w:val="24"/>
              </w:rPr>
            </w:pPr>
            <w:r>
              <w:rPr>
                <w:sz w:val="24"/>
                <w:szCs w:val="24"/>
              </w:rPr>
              <w:lastRenderedPageBreak/>
              <w:t xml:space="preserve">Текущий контроль: устный опрос, тест, тематическая проверочная работа. </w:t>
            </w:r>
          </w:p>
        </w:tc>
      </w:tr>
    </w:tbl>
    <w:p w:rsidR="006A259C" w:rsidRDefault="006A259C"/>
    <w:sectPr w:rsidR="006A2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 w15:restartNumberingAfterBreak="0">
    <w:nsid w:val="36146CCD"/>
    <w:multiLevelType w:val="hybridMultilevel"/>
    <w:tmpl w:val="817AAC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5E6F1D68"/>
    <w:multiLevelType w:val="hybridMultilevel"/>
    <w:tmpl w:val="87A423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66047C9C"/>
    <w:multiLevelType w:val="hybridMultilevel"/>
    <w:tmpl w:val="8320E2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21F61AD"/>
    <w:multiLevelType w:val="hybridMultilevel"/>
    <w:tmpl w:val="CA92F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DF"/>
    <w:rsid w:val="00495AB4"/>
    <w:rsid w:val="005B10AD"/>
    <w:rsid w:val="006A259C"/>
    <w:rsid w:val="006D6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19010-1CDF-4FEF-ACCC-A810EA8D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8DF"/>
  </w:style>
  <w:style w:type="paragraph" w:styleId="1">
    <w:name w:val="heading 1"/>
    <w:basedOn w:val="a"/>
    <w:next w:val="a"/>
    <w:link w:val="10"/>
    <w:uiPriority w:val="9"/>
    <w:qFormat/>
    <w:rsid w:val="005B10AD"/>
    <w:pPr>
      <w:keepNext/>
      <w:keepLines/>
      <w:spacing w:before="240"/>
      <w:outlineLvl w:val="0"/>
    </w:pPr>
    <w:rPr>
      <w:rFonts w:eastAsiaTheme="majorEastAsia" w:cstheme="maj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0AD"/>
    <w:rPr>
      <w:rFonts w:eastAsiaTheme="majorEastAsia" w:cstheme="majorBidi"/>
      <w:b/>
      <w:sz w:val="32"/>
      <w:szCs w:val="32"/>
    </w:rPr>
  </w:style>
  <w:style w:type="table" w:styleId="a3">
    <w:name w:val="Table Grid"/>
    <w:basedOn w:val="a1"/>
    <w:uiPriority w:val="39"/>
    <w:rsid w:val="006D6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68DF"/>
    <w:pPr>
      <w:ind w:left="720"/>
      <w:contextualSpacing/>
    </w:pPr>
  </w:style>
  <w:style w:type="paragraph" w:customStyle="1" w:styleId="11">
    <w:name w:val="Абзац списка1"/>
    <w:basedOn w:val="a"/>
    <w:rsid w:val="006D68DF"/>
    <w:pPr>
      <w:spacing w:after="200" w:line="276" w:lineRule="auto"/>
      <w:ind w:left="720"/>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342</Words>
  <Characters>1951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dc:creator>
  <cp:keywords/>
  <dc:description/>
  <cp:lastModifiedBy>234</cp:lastModifiedBy>
  <cp:revision>1</cp:revision>
  <dcterms:created xsi:type="dcterms:W3CDTF">2020-10-16T07:04:00Z</dcterms:created>
  <dcterms:modified xsi:type="dcterms:W3CDTF">2020-10-16T07:14:00Z</dcterms:modified>
</cp:coreProperties>
</file>